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D5DA2" w14:textId="6E27B3D8" w:rsidR="00F41DE0" w:rsidRPr="00612F48" w:rsidRDefault="00540E94">
      <w:pPr>
        <w:jc w:val="center"/>
        <w:rPr>
          <w:rStyle w:val="Nessuno"/>
          <w:rFonts w:ascii="Arial" w:eastAsia="Arial" w:hAnsi="Arial" w:cs="Arial"/>
          <w:b/>
          <w:bCs/>
          <w:sz w:val="36"/>
          <w:szCs w:val="36"/>
        </w:rPr>
      </w:pPr>
      <w:proofErr w:type="spellStart"/>
      <w:r>
        <w:rPr>
          <w:rStyle w:val="Nessuno"/>
          <w:rFonts w:ascii="Arial" w:hAnsi="Arial"/>
          <w:b/>
          <w:bCs/>
          <w:sz w:val="36"/>
          <w:szCs w:val="36"/>
        </w:rPr>
        <w:t>AgriTech</w:t>
      </w:r>
      <w:proofErr w:type="spellEnd"/>
      <w:r>
        <w:rPr>
          <w:rStyle w:val="Nessuno"/>
          <w:rFonts w:ascii="Arial" w:hAnsi="Arial"/>
          <w:b/>
          <w:bCs/>
          <w:sz w:val="36"/>
          <w:szCs w:val="36"/>
        </w:rPr>
        <w:t xml:space="preserve"> e </w:t>
      </w:r>
      <w:proofErr w:type="spellStart"/>
      <w:r w:rsidR="00EB0833">
        <w:rPr>
          <w:rStyle w:val="Nessuno"/>
          <w:rFonts w:ascii="Arial" w:hAnsi="Arial"/>
          <w:b/>
          <w:bCs/>
          <w:sz w:val="36"/>
          <w:szCs w:val="36"/>
        </w:rPr>
        <w:t>vertical</w:t>
      </w:r>
      <w:proofErr w:type="spellEnd"/>
      <w:r w:rsidR="00EB0833">
        <w:rPr>
          <w:rStyle w:val="Nessuno"/>
          <w:rFonts w:ascii="Arial" w:hAnsi="Arial"/>
          <w:b/>
          <w:bCs/>
          <w:sz w:val="36"/>
          <w:szCs w:val="36"/>
        </w:rPr>
        <w:t xml:space="preserve"> </w:t>
      </w:r>
      <w:proofErr w:type="spellStart"/>
      <w:r w:rsidR="00EB0833">
        <w:rPr>
          <w:rStyle w:val="Nessuno"/>
          <w:rFonts w:ascii="Arial" w:hAnsi="Arial"/>
          <w:b/>
          <w:bCs/>
          <w:sz w:val="36"/>
          <w:szCs w:val="36"/>
        </w:rPr>
        <w:t>farming</w:t>
      </w:r>
      <w:proofErr w:type="spellEnd"/>
      <w:r>
        <w:rPr>
          <w:rStyle w:val="Nessuno"/>
          <w:rFonts w:ascii="Arial" w:hAnsi="Arial"/>
          <w:b/>
          <w:bCs/>
          <w:sz w:val="36"/>
          <w:szCs w:val="36"/>
        </w:rPr>
        <w:t xml:space="preserve"> continuano a crescere</w:t>
      </w:r>
      <w:r w:rsidR="00071B27">
        <w:rPr>
          <w:rStyle w:val="Nessuno"/>
          <w:rFonts w:ascii="Arial" w:hAnsi="Arial"/>
          <w:b/>
          <w:bCs/>
          <w:sz w:val="36"/>
          <w:szCs w:val="36"/>
        </w:rPr>
        <w:t xml:space="preserve"> nel mondo ed in Italia: più 21 e più 97,5% rispettivamente</w:t>
      </w:r>
      <w:r w:rsidR="00EB0833">
        <w:rPr>
          <w:rStyle w:val="Nessuno"/>
          <w:rFonts w:ascii="Arial" w:hAnsi="Arial"/>
          <w:b/>
          <w:bCs/>
          <w:sz w:val="36"/>
          <w:szCs w:val="36"/>
        </w:rPr>
        <w:t xml:space="preserve"> </w:t>
      </w:r>
    </w:p>
    <w:p w14:paraId="2E9DD9CF" w14:textId="77777777" w:rsidR="00F41DE0" w:rsidRPr="00612F48" w:rsidRDefault="00F41DE0">
      <w:pPr>
        <w:jc w:val="center"/>
        <w:rPr>
          <w:rStyle w:val="Nessuno"/>
          <w:rFonts w:ascii="Arial" w:eastAsia="Arial" w:hAnsi="Arial" w:cs="Arial"/>
        </w:rPr>
      </w:pPr>
    </w:p>
    <w:p w14:paraId="78B99863" w14:textId="68B103B4" w:rsidR="00F41DE0" w:rsidRPr="00612F48" w:rsidRDefault="00EB0833">
      <w:pPr>
        <w:jc w:val="center"/>
        <w:rPr>
          <w:rStyle w:val="Nessuno"/>
          <w:rFonts w:ascii="Arial" w:eastAsia="Arial" w:hAnsi="Arial" w:cs="Arial"/>
          <w:sz w:val="28"/>
          <w:szCs w:val="28"/>
        </w:rPr>
      </w:pPr>
      <w:proofErr w:type="spellStart"/>
      <w:r w:rsidRPr="00612F48">
        <w:rPr>
          <w:rStyle w:val="Nessuno"/>
          <w:rFonts w:ascii="Arial" w:hAnsi="Arial"/>
          <w:sz w:val="28"/>
          <w:szCs w:val="28"/>
        </w:rPr>
        <w:t>Novel</w:t>
      </w:r>
      <w:r w:rsidR="00B908B2" w:rsidRPr="00612F48">
        <w:rPr>
          <w:rStyle w:val="Nessuno"/>
          <w:rFonts w:ascii="Arial" w:hAnsi="Arial"/>
          <w:sz w:val="28"/>
          <w:szCs w:val="28"/>
        </w:rPr>
        <w:t>F</w:t>
      </w:r>
      <w:r w:rsidRPr="00612F48">
        <w:rPr>
          <w:rStyle w:val="Nessuno"/>
          <w:rFonts w:ascii="Arial" w:hAnsi="Arial"/>
          <w:sz w:val="28"/>
          <w:szCs w:val="28"/>
        </w:rPr>
        <w:t>arm</w:t>
      </w:r>
      <w:proofErr w:type="spellEnd"/>
      <w:r w:rsidR="00071B27">
        <w:rPr>
          <w:rStyle w:val="Nessuno"/>
          <w:rFonts w:ascii="Arial" w:hAnsi="Arial"/>
          <w:sz w:val="28"/>
          <w:szCs w:val="28"/>
        </w:rPr>
        <w:t xml:space="preserve"> presenta gli imprenditori e i finanziatori che portano avanti la rivoluzione nella produzione di cibo;  il 20 e 21 marzo a Pordenone.</w:t>
      </w:r>
      <w:r w:rsidRPr="00612F48">
        <w:rPr>
          <w:rStyle w:val="Nessuno"/>
          <w:rFonts w:ascii="Arial" w:hAnsi="Arial"/>
          <w:sz w:val="28"/>
          <w:szCs w:val="28"/>
        </w:rPr>
        <w:t xml:space="preserve"> </w:t>
      </w:r>
    </w:p>
    <w:p w14:paraId="03180508" w14:textId="77777777" w:rsidR="00F41DE0" w:rsidRPr="00612F48" w:rsidRDefault="00F41DE0">
      <w:pPr>
        <w:jc w:val="center"/>
        <w:rPr>
          <w:rStyle w:val="Nessuno"/>
          <w:rFonts w:ascii="Arial" w:eastAsia="Arial" w:hAnsi="Arial" w:cs="Arial"/>
          <w:sz w:val="28"/>
          <w:szCs w:val="28"/>
        </w:rPr>
      </w:pPr>
    </w:p>
    <w:p w14:paraId="4B85A925" w14:textId="77777777" w:rsidR="00F41DE0" w:rsidRPr="00612F48" w:rsidRDefault="00F41DE0">
      <w:pPr>
        <w:jc w:val="center"/>
        <w:rPr>
          <w:rStyle w:val="Nessuno"/>
          <w:rFonts w:ascii="Arial" w:eastAsia="Arial" w:hAnsi="Arial" w:cs="Arial"/>
        </w:rPr>
      </w:pPr>
    </w:p>
    <w:p w14:paraId="44C57C6C" w14:textId="3C98E3D6" w:rsidR="00F7412F" w:rsidRDefault="00540E94" w:rsidP="00F7412F">
      <w:pPr>
        <w:jc w:val="both"/>
        <w:rPr>
          <w:rStyle w:val="Nessuno"/>
          <w:rFonts w:ascii="Arial" w:hAnsi="Arial"/>
        </w:rPr>
      </w:pPr>
      <w:r>
        <w:rPr>
          <w:rStyle w:val="Nessuno"/>
          <w:rFonts w:ascii="Arial" w:hAnsi="Arial"/>
          <w:b/>
          <w:bCs/>
          <w:i/>
          <w:iCs/>
        </w:rPr>
        <w:t>Pordenone, 25 gennaio</w:t>
      </w:r>
      <w:r w:rsidR="00EB0833" w:rsidRPr="00612F48">
        <w:rPr>
          <w:rStyle w:val="Nessuno"/>
          <w:rFonts w:ascii="Arial" w:hAnsi="Arial"/>
          <w:i/>
          <w:iCs/>
        </w:rPr>
        <w:t xml:space="preserve"> </w:t>
      </w:r>
      <w:r>
        <w:rPr>
          <w:rStyle w:val="Nessuno"/>
          <w:rFonts w:ascii="Arial" w:hAnsi="Arial"/>
          <w:i/>
          <w:iCs/>
        </w:rPr>
        <w:t>–</w:t>
      </w:r>
      <w:r w:rsidR="00EB0833" w:rsidRPr="00612F48">
        <w:rPr>
          <w:rStyle w:val="Nessuno"/>
          <w:rFonts w:ascii="Arial" w:hAnsi="Arial"/>
          <w:i/>
          <w:iCs/>
        </w:rPr>
        <w:t xml:space="preserve"> </w:t>
      </w:r>
      <w:r w:rsidR="00F7412F" w:rsidRPr="00F7412F">
        <w:rPr>
          <w:rStyle w:val="Nessuno"/>
          <w:rFonts w:ascii="Arial" w:hAnsi="Arial"/>
        </w:rPr>
        <w:t>Se leggete</w:t>
      </w:r>
      <w:r w:rsidR="00F7412F">
        <w:rPr>
          <w:rStyle w:val="Nessuno"/>
          <w:rFonts w:ascii="Arial" w:hAnsi="Arial"/>
        </w:rPr>
        <w:t xml:space="preserve"> che il settore dell’</w:t>
      </w:r>
      <w:proofErr w:type="spellStart"/>
      <w:r w:rsidR="00F7412F">
        <w:rPr>
          <w:rStyle w:val="Nessuno"/>
          <w:rFonts w:ascii="Arial" w:hAnsi="Arial"/>
        </w:rPr>
        <w:t>AgrTech</w:t>
      </w:r>
      <w:proofErr w:type="spellEnd"/>
      <w:r w:rsidR="00F7412F">
        <w:rPr>
          <w:rStyle w:val="Nessuno"/>
          <w:rFonts w:ascii="Arial" w:hAnsi="Arial"/>
        </w:rPr>
        <w:t xml:space="preserve"> è in crisi con un crollo degli investimenti sulle aziende che lavorano in questo spazio, non ci credete. Il crollo del 44% sul 2021</w:t>
      </w:r>
      <w:r w:rsidR="001A7B25">
        <w:rPr>
          <w:rStyle w:val="Nessuno"/>
          <w:rFonts w:ascii="Arial" w:hAnsi="Arial"/>
        </w:rPr>
        <w:t xml:space="preserve"> </w:t>
      </w:r>
      <w:r w:rsidR="00F7412F">
        <w:rPr>
          <w:rStyle w:val="Nessuno"/>
          <w:rFonts w:ascii="Arial" w:hAnsi="Arial"/>
        </w:rPr>
        <w:t>a 29,6 miliardi di dollari</w:t>
      </w:r>
      <w:r w:rsidR="001A7B25">
        <w:rPr>
          <w:rStyle w:val="Nessuno"/>
          <w:rFonts w:ascii="Arial" w:hAnsi="Arial"/>
        </w:rPr>
        <w:t xml:space="preserve"> </w:t>
      </w:r>
      <w:r w:rsidR="00F7412F">
        <w:rPr>
          <w:rStyle w:val="Nessuno"/>
          <w:rFonts w:ascii="Arial" w:hAnsi="Arial"/>
        </w:rPr>
        <w:t xml:space="preserve">che leggete in molti </w:t>
      </w:r>
      <w:r w:rsidR="001A7B25">
        <w:rPr>
          <w:rStyle w:val="Nessuno"/>
          <w:rFonts w:ascii="Arial" w:hAnsi="Arial"/>
        </w:rPr>
        <w:t>articoli</w:t>
      </w:r>
      <w:r w:rsidR="00F7412F">
        <w:rPr>
          <w:rStyle w:val="Nessuno"/>
          <w:rFonts w:ascii="Arial" w:hAnsi="Arial"/>
        </w:rPr>
        <w:t xml:space="preserve"> per il 2022 (per il 2023 non ci sono ancora dati definitivi) deriva d</w:t>
      </w:r>
      <w:r w:rsidR="001A7B25">
        <w:rPr>
          <w:rStyle w:val="Nessuno"/>
          <w:rFonts w:ascii="Arial" w:hAnsi="Arial"/>
        </w:rPr>
        <w:t>a un effetto di classificazione.</w:t>
      </w:r>
      <w:r w:rsidR="00F7412F">
        <w:rPr>
          <w:rStyle w:val="Nessuno"/>
          <w:rFonts w:ascii="Arial" w:hAnsi="Arial"/>
        </w:rPr>
        <w:t xml:space="preserve"> l’</w:t>
      </w:r>
      <w:proofErr w:type="spellStart"/>
      <w:r w:rsidR="00F7412F">
        <w:rPr>
          <w:rStyle w:val="Nessuno"/>
          <w:rFonts w:ascii="Arial" w:hAnsi="Arial"/>
        </w:rPr>
        <w:t>AgriTech</w:t>
      </w:r>
      <w:proofErr w:type="spellEnd"/>
      <w:r w:rsidR="00F7412F">
        <w:rPr>
          <w:rStyle w:val="Nessuno"/>
          <w:rFonts w:ascii="Arial" w:hAnsi="Arial"/>
        </w:rPr>
        <w:t xml:space="preserve"> nelle statistiche è spessissimo considerato come parte della catena del </w:t>
      </w:r>
      <w:proofErr w:type="spellStart"/>
      <w:r w:rsidR="00F7412F">
        <w:rPr>
          <w:rStyle w:val="Nessuno"/>
          <w:rFonts w:ascii="Arial" w:hAnsi="Arial"/>
        </w:rPr>
        <w:t>food</w:t>
      </w:r>
      <w:proofErr w:type="spellEnd"/>
      <w:r w:rsidR="00F7412F">
        <w:rPr>
          <w:rStyle w:val="Nessuno"/>
          <w:rFonts w:ascii="Arial" w:hAnsi="Arial"/>
        </w:rPr>
        <w:t xml:space="preserve">, e di conseguenza inserito in una settore definito </w:t>
      </w:r>
      <w:proofErr w:type="spellStart"/>
      <w:r w:rsidR="00F7412F">
        <w:rPr>
          <w:rStyle w:val="Nessuno"/>
          <w:rFonts w:ascii="Arial" w:hAnsi="Arial"/>
        </w:rPr>
        <w:t>AgriFoodTech</w:t>
      </w:r>
      <w:proofErr w:type="spellEnd"/>
      <w:r w:rsidR="00F7412F">
        <w:rPr>
          <w:rStyle w:val="Nessuno"/>
          <w:rFonts w:ascii="Arial" w:hAnsi="Arial"/>
        </w:rPr>
        <w:t xml:space="preserve">. Ebbene, se si toglie il </w:t>
      </w:r>
      <w:proofErr w:type="spellStart"/>
      <w:r w:rsidR="00F7412F">
        <w:rPr>
          <w:rStyle w:val="Nessuno"/>
          <w:rFonts w:ascii="Arial" w:hAnsi="Arial"/>
        </w:rPr>
        <w:t>FoodTech</w:t>
      </w:r>
      <w:proofErr w:type="spellEnd"/>
      <w:r w:rsidR="00F7412F">
        <w:rPr>
          <w:rStyle w:val="Nessuno"/>
          <w:rFonts w:ascii="Arial" w:hAnsi="Arial"/>
        </w:rPr>
        <w:t xml:space="preserve">, le categorie </w:t>
      </w:r>
      <w:proofErr w:type="spellStart"/>
      <w:r w:rsidR="00F7412F">
        <w:rPr>
          <w:rStyle w:val="Nessuno"/>
          <w:rFonts w:ascii="Arial" w:hAnsi="Arial"/>
        </w:rPr>
        <w:t>AgriTech</w:t>
      </w:r>
      <w:proofErr w:type="spellEnd"/>
      <w:r w:rsidR="00F7412F">
        <w:rPr>
          <w:rStyle w:val="Nessuno"/>
          <w:rFonts w:ascii="Arial" w:hAnsi="Arial"/>
        </w:rPr>
        <w:t xml:space="preserve"> in purezza, (</w:t>
      </w:r>
      <w:r w:rsidR="00F7412F" w:rsidRPr="00F7412F">
        <w:rPr>
          <w:rStyle w:val="Nessuno"/>
          <w:rFonts w:ascii="Arial" w:hAnsi="Arial"/>
        </w:rPr>
        <w:t xml:space="preserve">Ag Biotech, </w:t>
      </w:r>
      <w:proofErr w:type="spellStart"/>
      <w:r w:rsidR="00F7412F" w:rsidRPr="00F7412F">
        <w:rPr>
          <w:rStyle w:val="Nessuno"/>
          <w:rFonts w:ascii="Arial" w:hAnsi="Arial"/>
        </w:rPr>
        <w:t>Bioenergy</w:t>
      </w:r>
      <w:proofErr w:type="spellEnd"/>
      <w:r w:rsidR="00F7412F">
        <w:rPr>
          <w:rStyle w:val="Nessuno"/>
          <w:rFonts w:ascii="Arial" w:hAnsi="Arial"/>
        </w:rPr>
        <w:t xml:space="preserve"> </w:t>
      </w:r>
      <w:r w:rsidR="00F7412F" w:rsidRPr="00F7412F">
        <w:rPr>
          <w:rStyle w:val="Nessuno"/>
          <w:rFonts w:ascii="Arial" w:hAnsi="Arial"/>
        </w:rPr>
        <w:t xml:space="preserve">&amp; </w:t>
      </w:r>
      <w:proofErr w:type="spellStart"/>
      <w:r w:rsidR="00F7412F" w:rsidRPr="00F7412F">
        <w:rPr>
          <w:rStyle w:val="Nessuno"/>
          <w:rFonts w:ascii="Arial" w:hAnsi="Arial"/>
        </w:rPr>
        <w:t>Biomaterials</w:t>
      </w:r>
      <w:proofErr w:type="spellEnd"/>
      <w:r w:rsidR="00F7412F" w:rsidRPr="00F7412F">
        <w:rPr>
          <w:rStyle w:val="Nessuno"/>
          <w:rFonts w:ascii="Arial" w:hAnsi="Arial"/>
        </w:rPr>
        <w:t>, Farm</w:t>
      </w:r>
      <w:r w:rsidR="00F7412F">
        <w:rPr>
          <w:rStyle w:val="Nessuno"/>
          <w:rFonts w:ascii="Arial" w:hAnsi="Arial"/>
        </w:rPr>
        <w:t xml:space="preserve"> </w:t>
      </w:r>
      <w:r w:rsidR="00F7412F" w:rsidRPr="00F7412F">
        <w:rPr>
          <w:rStyle w:val="Nessuno"/>
          <w:rFonts w:ascii="Arial" w:hAnsi="Arial"/>
        </w:rPr>
        <w:t xml:space="preserve">Software &amp; </w:t>
      </w:r>
      <w:proofErr w:type="spellStart"/>
      <w:r w:rsidR="00F7412F" w:rsidRPr="00F7412F">
        <w:rPr>
          <w:rStyle w:val="Nessuno"/>
          <w:rFonts w:ascii="Arial" w:hAnsi="Arial"/>
        </w:rPr>
        <w:t>IoT</w:t>
      </w:r>
      <w:proofErr w:type="spellEnd"/>
      <w:r w:rsidR="00F7412F" w:rsidRPr="00F7412F">
        <w:rPr>
          <w:rStyle w:val="Nessuno"/>
          <w:rFonts w:ascii="Arial" w:hAnsi="Arial"/>
        </w:rPr>
        <w:t xml:space="preserve">, </w:t>
      </w:r>
      <w:proofErr w:type="spellStart"/>
      <w:r w:rsidR="00F7412F" w:rsidRPr="00F7412F">
        <w:rPr>
          <w:rStyle w:val="Nessuno"/>
          <w:rFonts w:ascii="Arial" w:hAnsi="Arial"/>
        </w:rPr>
        <w:t>Novel</w:t>
      </w:r>
      <w:proofErr w:type="spellEnd"/>
      <w:r w:rsidR="00F7412F">
        <w:rPr>
          <w:rStyle w:val="Nessuno"/>
          <w:rFonts w:ascii="Arial" w:hAnsi="Arial"/>
        </w:rPr>
        <w:t xml:space="preserve"> </w:t>
      </w:r>
      <w:proofErr w:type="spellStart"/>
      <w:r w:rsidR="00F7412F" w:rsidRPr="00F7412F">
        <w:rPr>
          <w:rStyle w:val="Nessuno"/>
          <w:rFonts w:ascii="Arial" w:hAnsi="Arial"/>
        </w:rPr>
        <w:t>Farming</w:t>
      </w:r>
      <w:proofErr w:type="spellEnd"/>
      <w:r w:rsidR="00F7412F" w:rsidRPr="00F7412F">
        <w:rPr>
          <w:rStyle w:val="Nessuno"/>
          <w:rFonts w:ascii="Arial" w:hAnsi="Arial"/>
        </w:rPr>
        <w:t xml:space="preserve"> Systems</w:t>
      </w:r>
      <w:r w:rsidR="00F7412F">
        <w:rPr>
          <w:rStyle w:val="Nessuno"/>
          <w:rFonts w:ascii="Arial" w:hAnsi="Arial"/>
        </w:rPr>
        <w:t>) hanno visto una crescita dell’8% reale da parte di entità societarie, fondi di pr</w:t>
      </w:r>
      <w:r w:rsidR="001A7B25">
        <w:rPr>
          <w:rStyle w:val="Nessuno"/>
          <w:rFonts w:ascii="Arial" w:hAnsi="Arial"/>
        </w:rPr>
        <w:t xml:space="preserve">ivate </w:t>
      </w:r>
      <w:proofErr w:type="spellStart"/>
      <w:r w:rsidR="001A7B25">
        <w:rPr>
          <w:rStyle w:val="Nessuno"/>
          <w:rFonts w:ascii="Arial" w:hAnsi="Arial"/>
        </w:rPr>
        <w:t>e</w:t>
      </w:r>
      <w:r w:rsidR="00F7412F">
        <w:rPr>
          <w:rStyle w:val="Nessuno"/>
          <w:rFonts w:ascii="Arial" w:hAnsi="Arial"/>
        </w:rPr>
        <w:t>quity</w:t>
      </w:r>
      <w:proofErr w:type="spellEnd"/>
      <w:r w:rsidR="00F7412F">
        <w:rPr>
          <w:rStyle w:val="Nessuno"/>
          <w:rFonts w:ascii="Arial" w:hAnsi="Arial"/>
        </w:rPr>
        <w:t xml:space="preserve"> e venture capital. Curiosamente, l’ambito delle </w:t>
      </w:r>
      <w:r w:rsidR="00F7412F" w:rsidRPr="00F7412F">
        <w:rPr>
          <w:rStyle w:val="Nessuno"/>
          <w:rFonts w:ascii="Arial" w:hAnsi="Arial"/>
        </w:rPr>
        <w:t xml:space="preserve">Alternative </w:t>
      </w:r>
      <w:proofErr w:type="spellStart"/>
      <w:r w:rsidR="00F7412F" w:rsidRPr="00F7412F">
        <w:rPr>
          <w:rStyle w:val="Nessuno"/>
          <w:rFonts w:ascii="Arial" w:hAnsi="Arial"/>
        </w:rPr>
        <w:t>Protein</w:t>
      </w:r>
      <w:r w:rsidR="00F7412F">
        <w:rPr>
          <w:rStyle w:val="Nessuno"/>
          <w:rFonts w:ascii="Arial" w:hAnsi="Arial"/>
        </w:rPr>
        <w:t>s</w:t>
      </w:r>
      <w:proofErr w:type="spellEnd"/>
      <w:r w:rsidR="00F7412F" w:rsidRPr="00F7412F">
        <w:rPr>
          <w:rStyle w:val="Nessuno"/>
          <w:rFonts w:ascii="Arial" w:hAnsi="Arial"/>
        </w:rPr>
        <w:t>,</w:t>
      </w:r>
      <w:r w:rsidR="00F7412F">
        <w:rPr>
          <w:rStyle w:val="Nessuno"/>
          <w:rFonts w:ascii="Arial" w:hAnsi="Arial"/>
        </w:rPr>
        <w:t xml:space="preserve"> che comprende i cibi a base vegetale che imitano quelli a base animale, è tra quelli </w:t>
      </w:r>
      <w:r w:rsidR="001A7B25">
        <w:rPr>
          <w:rStyle w:val="Nessuno"/>
          <w:rFonts w:ascii="Arial" w:hAnsi="Arial"/>
        </w:rPr>
        <w:t>c</w:t>
      </w:r>
      <w:r w:rsidR="00F7412F">
        <w:rPr>
          <w:rStyle w:val="Nessuno"/>
          <w:rFonts w:ascii="Arial" w:hAnsi="Arial"/>
        </w:rPr>
        <w:t>he è sceso di più, oltre il 35%.. Lo sp</w:t>
      </w:r>
      <w:r w:rsidR="001A7B25">
        <w:rPr>
          <w:rStyle w:val="Nessuno"/>
          <w:rFonts w:ascii="Arial" w:hAnsi="Arial"/>
        </w:rPr>
        <w:t>i</w:t>
      </w:r>
      <w:r w:rsidR="00F7412F">
        <w:rPr>
          <w:rStyle w:val="Nessuno"/>
          <w:rFonts w:ascii="Arial" w:hAnsi="Arial"/>
        </w:rPr>
        <w:t>ega il report annuale</w:t>
      </w:r>
      <w:r w:rsidR="001A7B25">
        <w:rPr>
          <w:rStyle w:val="Nessuno"/>
          <w:rFonts w:ascii="Arial" w:hAnsi="Arial"/>
        </w:rPr>
        <w:t xml:space="preserve"> 2023</w:t>
      </w:r>
      <w:r w:rsidR="00F7412F">
        <w:rPr>
          <w:rStyle w:val="Nessuno"/>
          <w:rFonts w:ascii="Arial" w:hAnsi="Arial"/>
        </w:rPr>
        <w:t xml:space="preserve"> di </w:t>
      </w:r>
      <w:proofErr w:type="spellStart"/>
      <w:r w:rsidR="00F7412F">
        <w:rPr>
          <w:rStyle w:val="Nessuno"/>
          <w:rFonts w:ascii="Arial" w:hAnsi="Arial"/>
        </w:rPr>
        <w:t>AgFunde</w:t>
      </w:r>
      <w:r w:rsidR="001A7B25">
        <w:rPr>
          <w:rStyle w:val="Nessuno"/>
          <w:rFonts w:ascii="Arial" w:hAnsi="Arial"/>
        </w:rPr>
        <w:t>r</w:t>
      </w:r>
      <w:proofErr w:type="spellEnd"/>
      <w:r w:rsidR="001A7B25">
        <w:rPr>
          <w:rStyle w:val="Nessuno"/>
          <w:rFonts w:ascii="Arial" w:hAnsi="Arial"/>
        </w:rPr>
        <w:t xml:space="preserve">, una delle maggiori venture capital specializzati al mondo. Ricerca genetica e su fertilizzanti, </w:t>
      </w:r>
      <w:proofErr w:type="spellStart"/>
      <w:r w:rsidR="001A7B25">
        <w:rPr>
          <w:rStyle w:val="Nessuno"/>
          <w:rFonts w:ascii="Arial" w:hAnsi="Arial"/>
        </w:rPr>
        <w:t>agrofarmaci</w:t>
      </w:r>
      <w:proofErr w:type="spellEnd"/>
      <w:r w:rsidR="001A7B25">
        <w:rPr>
          <w:rStyle w:val="Nessuno"/>
          <w:rFonts w:ascii="Arial" w:hAnsi="Arial"/>
        </w:rPr>
        <w:t xml:space="preserve"> e mangimi, tecnologie digitali per l’agricoltura di precisione, </w:t>
      </w:r>
      <w:proofErr w:type="spellStart"/>
      <w:r w:rsidR="001A7B25">
        <w:rPr>
          <w:rStyle w:val="Nessuno"/>
          <w:rFonts w:ascii="Arial" w:hAnsi="Arial"/>
        </w:rPr>
        <w:t>biofuel</w:t>
      </w:r>
      <w:proofErr w:type="spellEnd"/>
      <w:r w:rsidR="001A7B25">
        <w:rPr>
          <w:rStyle w:val="Nessuno"/>
          <w:rFonts w:ascii="Arial" w:hAnsi="Arial"/>
        </w:rPr>
        <w:t xml:space="preserve"> e biomateriali e naturalmente tutta l’agricoltura ad ambiente controllato reagisce bene alla crisi del capitale di rischio a livello mondiale. E questa è una notizia.</w:t>
      </w:r>
    </w:p>
    <w:p w14:paraId="6C1A00AD" w14:textId="77777777" w:rsidR="001A7B25" w:rsidRDefault="001A7B25" w:rsidP="00F7412F">
      <w:pPr>
        <w:jc w:val="both"/>
        <w:rPr>
          <w:rStyle w:val="Nessuno"/>
          <w:rFonts w:ascii="Arial" w:hAnsi="Arial"/>
        </w:rPr>
      </w:pPr>
    </w:p>
    <w:p w14:paraId="0BEDC482" w14:textId="216F1D65" w:rsidR="00071B27" w:rsidRDefault="001A7B25" w:rsidP="001A7B25">
      <w:pPr>
        <w:jc w:val="both"/>
        <w:rPr>
          <w:rStyle w:val="Nessuno"/>
          <w:rFonts w:ascii="Arial" w:hAnsi="Arial"/>
        </w:rPr>
      </w:pPr>
      <w:r>
        <w:rPr>
          <w:rStyle w:val="Nessuno"/>
          <w:rFonts w:ascii="Arial" w:hAnsi="Arial"/>
        </w:rPr>
        <w:t xml:space="preserve">Per gli investimenti di CEA </w:t>
      </w:r>
      <w:proofErr w:type="spellStart"/>
      <w:r>
        <w:rPr>
          <w:rStyle w:val="Nessuno"/>
          <w:rFonts w:ascii="Arial" w:hAnsi="Arial"/>
        </w:rPr>
        <w:t>AgFunder</w:t>
      </w:r>
      <w:proofErr w:type="spellEnd"/>
      <w:r>
        <w:rPr>
          <w:rStyle w:val="Nessuno"/>
          <w:rFonts w:ascii="Arial" w:hAnsi="Arial"/>
        </w:rPr>
        <w:t xml:space="preserve"> computa una crescita del 21% a 2,85 miliardi di dollari, anche se il numero di finanziamenti </w:t>
      </w:r>
      <w:r w:rsidR="00670DDB">
        <w:rPr>
          <w:rStyle w:val="Nessuno"/>
          <w:rFonts w:ascii="Arial" w:hAnsi="Arial"/>
        </w:rPr>
        <w:t>è</w:t>
      </w:r>
      <w:r>
        <w:rPr>
          <w:rStyle w:val="Nessuno"/>
          <w:rFonts w:ascii="Arial" w:hAnsi="Arial"/>
        </w:rPr>
        <w:t xml:space="preserve"> rimasto uguale al 2021 (anno record comunque), come conseguenza del fatto che i fondi si stanno spostando verso round successivi al primo (da A </w:t>
      </w:r>
      <w:proofErr w:type="spellStart"/>
      <w:r>
        <w:rPr>
          <w:rStyle w:val="Nessuno"/>
          <w:rFonts w:ascii="Arial" w:hAnsi="Arial"/>
        </w:rPr>
        <w:t>a</w:t>
      </w:r>
      <w:proofErr w:type="spellEnd"/>
      <w:r>
        <w:rPr>
          <w:rStyle w:val="Nessuno"/>
          <w:rFonts w:ascii="Arial" w:hAnsi="Arial"/>
        </w:rPr>
        <w:t xml:space="preserve"> B, in gergo). LO stesso sta avvenendo anche in Italia, secondo le rilevazioni di </w:t>
      </w:r>
      <w:proofErr w:type="spellStart"/>
      <w:r>
        <w:rPr>
          <w:rStyle w:val="Nessuno"/>
          <w:rFonts w:ascii="Arial" w:hAnsi="Arial"/>
        </w:rPr>
        <w:t>TheFoodCons</w:t>
      </w:r>
      <w:proofErr w:type="spellEnd"/>
      <w:r>
        <w:rPr>
          <w:rStyle w:val="Nessuno"/>
          <w:rFonts w:ascii="Arial" w:hAnsi="Arial"/>
        </w:rPr>
        <w:t>, società di consulenza di settore.</w:t>
      </w:r>
      <w:r w:rsidR="00670DDB">
        <w:rPr>
          <w:rStyle w:val="Nessuno"/>
          <w:rFonts w:ascii="Arial" w:hAnsi="Arial"/>
        </w:rPr>
        <w:t xml:space="preserve"> </w:t>
      </w:r>
      <w:r>
        <w:rPr>
          <w:rStyle w:val="Nessuno"/>
          <w:rFonts w:ascii="Arial" w:hAnsi="Arial"/>
        </w:rPr>
        <w:t>Per l’Italia abbiamo già dai più aggiornati. Per restare sulla CEA questo che è app</w:t>
      </w:r>
      <w:r w:rsidR="00C129B7">
        <w:rPr>
          <w:rStyle w:val="Nessuno"/>
          <w:rFonts w:ascii="Arial" w:hAnsi="Arial"/>
        </w:rPr>
        <w:t>e</w:t>
      </w:r>
      <w:r>
        <w:rPr>
          <w:rStyle w:val="Nessuno"/>
          <w:rFonts w:ascii="Arial" w:hAnsi="Arial"/>
        </w:rPr>
        <w:t xml:space="preserve">na passato è </w:t>
      </w:r>
      <w:r w:rsidR="00C129B7">
        <w:rPr>
          <w:rStyle w:val="Nessuno"/>
          <w:rFonts w:ascii="Arial" w:hAnsi="Arial"/>
        </w:rPr>
        <w:t>stato un anno record, anche perché come Paese siamo in ritardo</w:t>
      </w:r>
      <w:r w:rsidR="00071B27">
        <w:rPr>
          <w:rStyle w:val="Nessuno"/>
          <w:rFonts w:ascii="Arial" w:hAnsi="Arial"/>
        </w:rPr>
        <w:t xml:space="preserve"> e solo ora si stanno aggiungendo le </w:t>
      </w:r>
      <w:proofErr w:type="spellStart"/>
      <w:r w:rsidR="00071B27">
        <w:rPr>
          <w:rStyle w:val="Nessuno"/>
          <w:rFonts w:ascii="Arial" w:hAnsi="Arial"/>
        </w:rPr>
        <w:t>vertical</w:t>
      </w:r>
      <w:proofErr w:type="spellEnd"/>
      <w:r w:rsidR="00071B27">
        <w:rPr>
          <w:rStyle w:val="Nessuno"/>
          <w:rFonts w:ascii="Arial" w:hAnsi="Arial"/>
        </w:rPr>
        <w:t xml:space="preserve"> farm vere e proprie alle serre </w:t>
      </w:r>
      <w:proofErr w:type="spellStart"/>
      <w:r w:rsidR="00071B27">
        <w:rPr>
          <w:rStyle w:val="Nessuno"/>
          <w:rFonts w:ascii="Arial" w:hAnsi="Arial"/>
        </w:rPr>
        <w:t>hitech</w:t>
      </w:r>
      <w:proofErr w:type="spellEnd"/>
      <w:r w:rsidR="00071B27">
        <w:rPr>
          <w:rStyle w:val="Nessuno"/>
          <w:rFonts w:ascii="Arial" w:hAnsi="Arial"/>
        </w:rPr>
        <w:t xml:space="preserve"> con coltivazione idroponica e aeroponica, quasi “</w:t>
      </w:r>
      <w:proofErr w:type="spellStart"/>
      <w:r w:rsidR="00071B27">
        <w:rPr>
          <w:rStyle w:val="Nessuno"/>
          <w:rFonts w:ascii="Arial" w:hAnsi="Arial"/>
        </w:rPr>
        <w:t>mainstream</w:t>
      </w:r>
      <w:proofErr w:type="spellEnd"/>
      <w:r w:rsidR="00071B27">
        <w:rPr>
          <w:rStyle w:val="Nessuno"/>
          <w:rFonts w:ascii="Arial" w:hAnsi="Arial"/>
        </w:rPr>
        <w:t xml:space="preserve">” ormai. </w:t>
      </w:r>
    </w:p>
    <w:p w14:paraId="612ED821" w14:textId="77777777" w:rsidR="00071B27" w:rsidRDefault="00071B27" w:rsidP="001A7B25">
      <w:pPr>
        <w:jc w:val="both"/>
        <w:rPr>
          <w:rStyle w:val="Nessuno"/>
          <w:rFonts w:ascii="Arial" w:hAnsi="Arial"/>
        </w:rPr>
      </w:pPr>
    </w:p>
    <w:p w14:paraId="50694D4D" w14:textId="103305DF" w:rsidR="001A7B25" w:rsidRDefault="00C129B7" w:rsidP="001A7B25">
      <w:pPr>
        <w:jc w:val="both"/>
        <w:rPr>
          <w:rStyle w:val="Nessuno"/>
          <w:rFonts w:ascii="Arial" w:hAnsi="Arial"/>
        </w:rPr>
      </w:pPr>
      <w:r>
        <w:rPr>
          <w:rStyle w:val="Nessuno"/>
          <w:rFonts w:ascii="Arial" w:hAnsi="Arial"/>
        </w:rPr>
        <w:t xml:space="preserve">Secondo </w:t>
      </w:r>
      <w:proofErr w:type="spellStart"/>
      <w:r>
        <w:rPr>
          <w:rStyle w:val="Nessuno"/>
          <w:rFonts w:ascii="Arial" w:hAnsi="Arial"/>
        </w:rPr>
        <w:t>TheFoodCons</w:t>
      </w:r>
      <w:proofErr w:type="spellEnd"/>
      <w:r>
        <w:rPr>
          <w:rStyle w:val="Nessuno"/>
          <w:rFonts w:ascii="Arial" w:hAnsi="Arial"/>
        </w:rPr>
        <w:t xml:space="preserve"> il settore dell’indoor </w:t>
      </w:r>
      <w:proofErr w:type="spellStart"/>
      <w:r>
        <w:rPr>
          <w:rStyle w:val="Nessuno"/>
          <w:rFonts w:ascii="Arial" w:hAnsi="Arial"/>
        </w:rPr>
        <w:t>farming</w:t>
      </w:r>
      <w:proofErr w:type="spellEnd"/>
      <w:r>
        <w:rPr>
          <w:rStyle w:val="Nessuno"/>
          <w:rFonts w:ascii="Arial" w:hAnsi="Arial"/>
        </w:rPr>
        <w:t xml:space="preserve"> (che praticamente coincide con la definizione di CEA) ha visto accordi per 109 milioni di euro complessivi</w:t>
      </w:r>
      <w:r w:rsidR="00071B27">
        <w:rPr>
          <w:rStyle w:val="Nessuno"/>
          <w:rFonts w:ascii="Arial" w:hAnsi="Arial"/>
        </w:rPr>
        <w:t>, con un pratico raddoppio</w:t>
      </w:r>
      <w:r>
        <w:rPr>
          <w:rStyle w:val="Nessuno"/>
          <w:rFonts w:ascii="Arial" w:hAnsi="Arial"/>
        </w:rPr>
        <w:t xml:space="preserve">. Spiccano tra gli investimenti per nuove iniziative i 24 milioni tra </w:t>
      </w:r>
      <w:proofErr w:type="spellStart"/>
      <w:r>
        <w:rPr>
          <w:rStyle w:val="Nessuno"/>
          <w:rFonts w:ascii="Arial" w:hAnsi="Arial"/>
        </w:rPr>
        <w:t>funding</w:t>
      </w:r>
      <w:proofErr w:type="spellEnd"/>
      <w:r>
        <w:rPr>
          <w:rStyle w:val="Nessuno"/>
          <w:rFonts w:ascii="Arial" w:hAnsi="Arial"/>
        </w:rPr>
        <w:t xml:space="preserve"> diretto e investimento azionario in Agricola Moderna per il secondo stabilimento ad Agnadello, e i 40 milioni andati a Planet </w:t>
      </w:r>
      <w:proofErr w:type="spellStart"/>
      <w:r>
        <w:rPr>
          <w:rStyle w:val="Nessuno"/>
          <w:rFonts w:ascii="Arial" w:hAnsi="Arial"/>
        </w:rPr>
        <w:t>Farms</w:t>
      </w:r>
      <w:proofErr w:type="spellEnd"/>
      <w:r>
        <w:rPr>
          <w:rStyle w:val="Nessuno"/>
          <w:rFonts w:ascii="Arial" w:hAnsi="Arial"/>
        </w:rPr>
        <w:t xml:space="preserve"> per il nuovo impianto di Cirimido oltre che l’espansione nel Regno Unito. </w:t>
      </w:r>
      <w:r w:rsidR="00670DDB">
        <w:rPr>
          <w:rStyle w:val="Nessuno"/>
          <w:rFonts w:ascii="Arial" w:hAnsi="Arial"/>
        </w:rPr>
        <w:t xml:space="preserve">Ma tra i deal c’è </w:t>
      </w:r>
      <w:r w:rsidR="00071B27">
        <w:rPr>
          <w:rStyle w:val="Nessuno"/>
          <w:rFonts w:ascii="Arial" w:hAnsi="Arial"/>
        </w:rPr>
        <w:t xml:space="preserve">anche </w:t>
      </w:r>
      <w:r w:rsidR="00670DDB">
        <w:rPr>
          <w:rStyle w:val="Nessuno"/>
          <w:rFonts w:ascii="Arial" w:hAnsi="Arial"/>
        </w:rPr>
        <w:t>quello di Kilometro verde a Verolanuova. Tutte e tre località lombarde. Non è un caso.</w:t>
      </w:r>
    </w:p>
    <w:p w14:paraId="0E916F15" w14:textId="77777777" w:rsidR="00670DDB" w:rsidRDefault="00670DDB" w:rsidP="001A7B25">
      <w:pPr>
        <w:jc w:val="both"/>
        <w:rPr>
          <w:rStyle w:val="Nessuno"/>
          <w:rFonts w:ascii="Arial" w:hAnsi="Arial"/>
        </w:rPr>
      </w:pPr>
    </w:p>
    <w:p w14:paraId="16ABAC98" w14:textId="19A45A5A" w:rsidR="00F41DE0" w:rsidRPr="00612F48" w:rsidRDefault="00670DDB">
      <w:pPr>
        <w:jc w:val="both"/>
        <w:rPr>
          <w:rStyle w:val="Nessuno"/>
          <w:rFonts w:ascii="Arial" w:eastAsia="Arial" w:hAnsi="Arial" w:cs="Arial"/>
        </w:rPr>
      </w:pPr>
      <w:r>
        <w:rPr>
          <w:rStyle w:val="Nessuno"/>
          <w:rFonts w:ascii="Arial" w:hAnsi="Arial"/>
        </w:rPr>
        <w:t>È verissimo che u</w:t>
      </w:r>
      <w:r w:rsidRPr="00670DDB">
        <w:rPr>
          <w:rStyle w:val="Nessuno"/>
          <w:rFonts w:ascii="Arial" w:hAnsi="Arial"/>
        </w:rPr>
        <w:t xml:space="preserve">na </w:t>
      </w:r>
      <w:proofErr w:type="spellStart"/>
      <w:r w:rsidRPr="00670DDB">
        <w:rPr>
          <w:rStyle w:val="Nessuno"/>
          <w:rFonts w:ascii="Arial" w:hAnsi="Arial"/>
        </w:rPr>
        <w:t>vertical</w:t>
      </w:r>
      <w:proofErr w:type="spellEnd"/>
      <w:r w:rsidRPr="00670DDB">
        <w:rPr>
          <w:rStyle w:val="Nessuno"/>
          <w:rFonts w:ascii="Arial" w:hAnsi="Arial"/>
        </w:rPr>
        <w:t xml:space="preserve"> farm per essere competitiva a livello di prezzo del prodotto al consumatore finale deve potere essere costruita vicina alla aree di consumo e magari essere affiancata dall’impianto di preparazione alla vendita. Per certe categorie, come la IV Gamma ma anche la cosiddetta I Gamma evoluta, poter  ridurre se non annullare il costo logistico è </w:t>
      </w:r>
      <w:r w:rsidRPr="00670DDB">
        <w:rPr>
          <w:rStyle w:val="Nessuno"/>
          <w:rFonts w:ascii="Arial" w:hAnsi="Arial"/>
        </w:rPr>
        <w:lastRenderedPageBreak/>
        <w:t>fondamentale per la sostenibilità economica, che non è più garantita dal differenziale di prezzo.</w:t>
      </w:r>
      <w:r>
        <w:rPr>
          <w:rStyle w:val="Nessuno"/>
          <w:rFonts w:ascii="Arial" w:hAnsi="Arial"/>
        </w:rPr>
        <w:t xml:space="preserve"> E la Lombardia è anche l’area più urbanizzata d’Italia. Ma è anche </w:t>
      </w:r>
      <w:r w:rsidRPr="00670DDB">
        <w:rPr>
          <w:rStyle w:val="Nessuno"/>
          <w:rFonts w:ascii="Arial" w:hAnsi="Arial"/>
        </w:rPr>
        <w:t xml:space="preserve">l’unica regione dove una legge equipara le serre hi-tech </w:t>
      </w:r>
      <w:r w:rsidR="00071B27">
        <w:rPr>
          <w:rStyle w:val="Nessuno"/>
          <w:rFonts w:ascii="Arial" w:hAnsi="Arial"/>
        </w:rPr>
        <w:t xml:space="preserve">e le </w:t>
      </w:r>
      <w:proofErr w:type="spellStart"/>
      <w:r w:rsidR="00071B27">
        <w:rPr>
          <w:rStyle w:val="Nessuno"/>
          <w:rFonts w:ascii="Arial" w:hAnsi="Arial"/>
        </w:rPr>
        <w:t>vertical</w:t>
      </w:r>
      <w:proofErr w:type="spellEnd"/>
      <w:r w:rsidR="00071B27">
        <w:rPr>
          <w:rStyle w:val="Nessuno"/>
          <w:rFonts w:ascii="Arial" w:hAnsi="Arial"/>
        </w:rPr>
        <w:t xml:space="preserve"> farm anche </w:t>
      </w:r>
      <w:r w:rsidRPr="00670DDB">
        <w:rPr>
          <w:rStyle w:val="Nessuno"/>
          <w:rFonts w:ascii="Arial" w:hAnsi="Arial"/>
        </w:rPr>
        <w:t>in ambiente urbano ad aziende agricole, con tutti i vantaggi che questo implica</w:t>
      </w:r>
      <w:r w:rsidR="00071B27">
        <w:rPr>
          <w:rStyle w:val="Nessuno"/>
          <w:rFonts w:ascii="Arial" w:hAnsi="Arial"/>
        </w:rPr>
        <w:t xml:space="preserve"> sul fronte fiscale</w:t>
      </w:r>
      <w:r w:rsidRPr="00670DDB">
        <w:rPr>
          <w:rStyle w:val="Nessuno"/>
          <w:rFonts w:ascii="Arial" w:hAnsi="Arial"/>
        </w:rPr>
        <w:t xml:space="preserve">. </w:t>
      </w:r>
      <w:r>
        <w:rPr>
          <w:rStyle w:val="Nessuno"/>
          <w:rFonts w:ascii="Arial" w:hAnsi="Arial"/>
        </w:rPr>
        <w:t>C</w:t>
      </w:r>
      <w:r w:rsidR="00071B27">
        <w:rPr>
          <w:rStyle w:val="Nessuno"/>
          <w:rFonts w:ascii="Arial" w:hAnsi="Arial"/>
        </w:rPr>
        <w:t xml:space="preserve">ome non è un caso che </w:t>
      </w:r>
      <w:r>
        <w:rPr>
          <w:rStyle w:val="Nessuno"/>
          <w:rFonts w:ascii="Arial" w:hAnsi="Arial"/>
        </w:rPr>
        <w:t xml:space="preserve">la sessione di apertura di </w:t>
      </w:r>
      <w:proofErr w:type="spellStart"/>
      <w:r w:rsidRPr="00670DDB">
        <w:rPr>
          <w:rStyle w:val="Nessuno"/>
          <w:rFonts w:ascii="Arial" w:hAnsi="Arial"/>
        </w:rPr>
        <w:t>NovelFarm</w:t>
      </w:r>
      <w:proofErr w:type="spellEnd"/>
      <w:r>
        <w:rPr>
          <w:rStyle w:val="Nessuno"/>
          <w:rFonts w:ascii="Arial" w:hAnsi="Arial"/>
        </w:rPr>
        <w:t xml:space="preserve">, </w:t>
      </w:r>
      <w:r w:rsidRPr="00670DDB">
        <w:rPr>
          <w:rStyle w:val="Nessuno"/>
          <w:rFonts w:ascii="Arial" w:hAnsi="Arial"/>
        </w:rPr>
        <w:t>la manifestazione di riferimento in Italia dell’</w:t>
      </w:r>
      <w:proofErr w:type="spellStart"/>
      <w:r w:rsidRPr="00670DDB">
        <w:rPr>
          <w:rStyle w:val="Nessuno"/>
          <w:rFonts w:ascii="Arial" w:hAnsi="Arial"/>
        </w:rPr>
        <w:t>agritech</w:t>
      </w:r>
      <w:proofErr w:type="spellEnd"/>
      <w:r w:rsidRPr="00670DDB">
        <w:rPr>
          <w:rStyle w:val="Nessuno"/>
          <w:rFonts w:ascii="Arial" w:hAnsi="Arial"/>
        </w:rPr>
        <w:t xml:space="preserve">, dell’indoor e del </w:t>
      </w:r>
      <w:proofErr w:type="spellStart"/>
      <w:r w:rsidRPr="00670DDB">
        <w:rPr>
          <w:rStyle w:val="Nessuno"/>
          <w:rFonts w:ascii="Arial" w:hAnsi="Arial"/>
        </w:rPr>
        <w:t>vertical</w:t>
      </w:r>
      <w:proofErr w:type="spellEnd"/>
      <w:r w:rsidRPr="00670DDB">
        <w:rPr>
          <w:rStyle w:val="Nessuno"/>
          <w:rFonts w:ascii="Arial" w:hAnsi="Arial"/>
        </w:rPr>
        <w:t xml:space="preserve"> </w:t>
      </w:r>
      <w:proofErr w:type="spellStart"/>
      <w:r w:rsidRPr="00670DDB">
        <w:rPr>
          <w:rStyle w:val="Nessuno"/>
          <w:rFonts w:ascii="Arial" w:hAnsi="Arial"/>
        </w:rPr>
        <w:t>farming</w:t>
      </w:r>
      <w:proofErr w:type="spellEnd"/>
      <w:r w:rsidRPr="00670DDB">
        <w:rPr>
          <w:rStyle w:val="Nessuno"/>
          <w:rFonts w:ascii="Arial" w:hAnsi="Arial"/>
        </w:rPr>
        <w:t>, in programma a Pordenone Fiere</w:t>
      </w:r>
      <w:r>
        <w:rPr>
          <w:rStyle w:val="Nessuno"/>
          <w:rFonts w:ascii="Arial" w:hAnsi="Arial"/>
        </w:rPr>
        <w:t xml:space="preserve">, dedichi </w:t>
      </w:r>
      <w:r w:rsidRPr="00670DDB">
        <w:rPr>
          <w:rStyle w:val="Nessuno"/>
          <w:rFonts w:ascii="Arial" w:hAnsi="Arial"/>
        </w:rPr>
        <w:t xml:space="preserve">proprio agli alleati e agli ostacoli alla diffusione della </w:t>
      </w:r>
      <w:r>
        <w:rPr>
          <w:rStyle w:val="Nessuno"/>
          <w:rFonts w:ascii="Arial" w:hAnsi="Arial"/>
        </w:rPr>
        <w:t xml:space="preserve"> CEA di nuova generazione</w:t>
      </w:r>
      <w:r w:rsidRPr="00670DDB">
        <w:rPr>
          <w:rStyle w:val="Nessuno"/>
          <w:rFonts w:ascii="Arial" w:hAnsi="Arial"/>
        </w:rPr>
        <w:t xml:space="preserve"> la sessione di apertura. </w:t>
      </w:r>
      <w:r w:rsidR="00071B27">
        <w:rPr>
          <w:rStyle w:val="Nessuno"/>
          <w:rFonts w:ascii="Arial" w:hAnsi="Arial"/>
        </w:rPr>
        <w:t>Appuntamento quindi il 20 e 21 marzo con le frontiere dell’</w:t>
      </w:r>
      <w:proofErr w:type="spellStart"/>
      <w:r w:rsidR="00071B27">
        <w:rPr>
          <w:rStyle w:val="Nessuno"/>
          <w:rFonts w:ascii="Arial" w:hAnsi="Arial"/>
        </w:rPr>
        <w:t>AgriTech</w:t>
      </w:r>
      <w:proofErr w:type="spellEnd"/>
      <w:r w:rsidR="00071B27">
        <w:rPr>
          <w:rStyle w:val="Nessuno"/>
          <w:rFonts w:ascii="Arial" w:hAnsi="Arial"/>
        </w:rPr>
        <w:t xml:space="preserve"> e con gli imprenditori e i loro finanziatori che le stanno spostan</w:t>
      </w:r>
      <w:bookmarkStart w:id="0" w:name="_GoBack"/>
      <w:bookmarkEnd w:id="0"/>
      <w:r w:rsidR="00071B27">
        <w:rPr>
          <w:rStyle w:val="Nessuno"/>
          <w:rFonts w:ascii="Arial" w:hAnsi="Arial"/>
        </w:rPr>
        <w:t>do sempre più avanti.</w:t>
      </w:r>
    </w:p>
    <w:p w14:paraId="1D3CD630" w14:textId="77777777" w:rsidR="00F41DE0" w:rsidRPr="00612F48" w:rsidRDefault="00F41DE0">
      <w:pPr>
        <w:jc w:val="both"/>
        <w:rPr>
          <w:rStyle w:val="Nessuno"/>
          <w:rFonts w:ascii="Arial" w:eastAsia="Arial" w:hAnsi="Arial" w:cs="Arial"/>
        </w:rPr>
      </w:pPr>
    </w:p>
    <w:p w14:paraId="41F1AE61" w14:textId="73F1337D" w:rsidR="00F41DE0" w:rsidRDefault="00EB0833">
      <w:pPr>
        <w:jc w:val="both"/>
        <w:rPr>
          <w:rStyle w:val="Nessuno"/>
          <w:rFonts w:ascii="Arial" w:eastAsia="Arial" w:hAnsi="Arial" w:cs="Arial"/>
          <w:sz w:val="22"/>
          <w:szCs w:val="22"/>
        </w:rPr>
      </w:pPr>
      <w:r w:rsidRPr="00612F48">
        <w:rPr>
          <w:rStyle w:val="Nessuno"/>
          <w:rFonts w:ascii="Arial" w:hAnsi="Arial"/>
          <w:b/>
          <w:bCs/>
          <w:sz w:val="22"/>
          <w:szCs w:val="22"/>
        </w:rPr>
        <w:t>NovelFarm</w:t>
      </w:r>
      <w:r w:rsidRPr="00612F48">
        <w:rPr>
          <w:rStyle w:val="Nessuno"/>
          <w:rFonts w:ascii="Arial" w:hAnsi="Arial"/>
          <w:sz w:val="22"/>
          <w:szCs w:val="22"/>
        </w:rPr>
        <w:t xml:space="preserve"> è una mostra-convegno internazionale sulle innovazioni in agricoltura, indoor e vertical farming, organi</w:t>
      </w:r>
      <w:r w:rsidRPr="00612F48">
        <w:rPr>
          <w:rStyle w:val="Nessuno"/>
          <w:rFonts w:ascii="Arial" w:hAnsi="Arial"/>
          <w:sz w:val="22"/>
          <w:szCs w:val="22"/>
        </w:rPr>
        <w:t>zzata da Pordenone Fiere in collaborazione con</w:t>
      </w:r>
      <w:r w:rsidRPr="00612F48">
        <w:rPr>
          <w:rStyle w:val="Nessuno"/>
          <w:rFonts w:ascii="Arial" w:hAnsi="Arial"/>
          <w:b/>
          <w:bCs/>
          <w:sz w:val="22"/>
          <w:szCs w:val="22"/>
        </w:rPr>
        <w:t xml:space="preserve"> Studio Comelli – Conferences&amp;Communication</w:t>
      </w:r>
      <w:r w:rsidRPr="00612F48">
        <w:rPr>
          <w:rStyle w:val="Nessuno"/>
          <w:rFonts w:ascii="Arial" w:hAnsi="Arial"/>
          <w:sz w:val="22"/>
          <w:szCs w:val="22"/>
        </w:rPr>
        <w:t xml:space="preserve">, che cura i contenuti delle conferenze e l’ufficio stampa. La manifestazione è nata nel 2020 e </w:t>
      </w:r>
      <w:r w:rsidR="00B908B2" w:rsidRPr="00612F48">
        <w:rPr>
          <w:rStyle w:val="Nessuno"/>
          <w:rFonts w:ascii="Arial" w:hAnsi="Arial"/>
          <w:sz w:val="22"/>
          <w:szCs w:val="22"/>
        </w:rPr>
        <w:t>ne</w:t>
      </w:r>
      <w:r w:rsidRPr="00612F48">
        <w:rPr>
          <w:rStyle w:val="Nessuno"/>
          <w:rFonts w:ascii="Arial" w:hAnsi="Arial"/>
          <w:sz w:val="22"/>
          <w:szCs w:val="22"/>
        </w:rPr>
        <w:t>ll’ultima edizione</w:t>
      </w:r>
      <w:r w:rsidR="00B908B2" w:rsidRPr="00612F48">
        <w:rPr>
          <w:rStyle w:val="Nessuno"/>
          <w:rFonts w:ascii="Arial" w:hAnsi="Arial"/>
          <w:sz w:val="22"/>
          <w:szCs w:val="22"/>
        </w:rPr>
        <w:t xml:space="preserve"> tenutasi in contemporanea con AquaFarm, i due eventi</w:t>
      </w:r>
      <w:r w:rsidRPr="00612F48">
        <w:rPr>
          <w:rStyle w:val="Nessuno"/>
          <w:rFonts w:ascii="Arial" w:hAnsi="Arial"/>
          <w:sz w:val="22"/>
          <w:szCs w:val="22"/>
        </w:rPr>
        <w:t xml:space="preserve"> ha</w:t>
      </w:r>
      <w:r w:rsidR="00B908B2" w:rsidRPr="00612F48">
        <w:rPr>
          <w:rStyle w:val="Nessuno"/>
          <w:rFonts w:ascii="Arial" w:hAnsi="Arial"/>
          <w:sz w:val="22"/>
          <w:szCs w:val="22"/>
        </w:rPr>
        <w:t>nno</w:t>
      </w:r>
      <w:r w:rsidRPr="00612F48">
        <w:rPr>
          <w:rStyle w:val="Nessuno"/>
          <w:rFonts w:ascii="Arial" w:hAnsi="Arial"/>
          <w:sz w:val="22"/>
          <w:szCs w:val="22"/>
        </w:rPr>
        <w:t xml:space="preserve"> registrato una crescita del 62% rispetto al 2022, 1</w:t>
      </w:r>
      <w:r w:rsidR="00B908B2" w:rsidRPr="00612F48">
        <w:rPr>
          <w:rStyle w:val="Nessuno"/>
          <w:rFonts w:ascii="Arial" w:hAnsi="Arial"/>
          <w:sz w:val="22"/>
          <w:szCs w:val="22"/>
        </w:rPr>
        <w:t>3</w:t>
      </w:r>
      <w:r w:rsidRPr="00612F48">
        <w:rPr>
          <w:rStyle w:val="Nessuno"/>
          <w:rFonts w:ascii="Arial" w:hAnsi="Arial"/>
          <w:sz w:val="22"/>
          <w:szCs w:val="22"/>
        </w:rPr>
        <w:t xml:space="preserve">0 espositori, il 35% proveniente dall’estero e quasi 7.000 mq di area espositiva. La partecipazione all’evento è gratuita previa registrazione online sul sito: </w:t>
      </w:r>
      <w:hyperlink r:id="rId7" w:history="1">
        <w:r w:rsidRPr="00612F48">
          <w:rPr>
            <w:rStyle w:val="Hyperlink1"/>
          </w:rPr>
          <w:t>www.novelfarmexpo.it</w:t>
        </w:r>
      </w:hyperlink>
      <w:r w:rsidRPr="00612F48">
        <w:rPr>
          <w:rStyle w:val="Nessuno"/>
          <w:rFonts w:ascii="Arial" w:hAnsi="Arial"/>
          <w:sz w:val="22"/>
          <w:szCs w:val="22"/>
        </w:rPr>
        <w:t>.</w:t>
      </w:r>
    </w:p>
    <w:p w14:paraId="6FBB88E4" w14:textId="77777777" w:rsidR="00F41DE0" w:rsidRDefault="00F41DE0">
      <w:pPr>
        <w:rPr>
          <w:rStyle w:val="Nessuno"/>
          <w:rFonts w:ascii="Arial" w:eastAsia="Arial" w:hAnsi="Arial" w:cs="Arial"/>
          <w:sz w:val="22"/>
          <w:szCs w:val="22"/>
        </w:rPr>
      </w:pPr>
    </w:p>
    <w:p w14:paraId="087F81E0" w14:textId="77777777" w:rsidR="00F41DE0" w:rsidRDefault="00EB0833">
      <w:pPr>
        <w:spacing w:after="200"/>
      </w:pPr>
      <w:r>
        <w:rPr>
          <w:rStyle w:val="Nessuno"/>
          <w:rFonts w:ascii="Arial" w:hAnsi="Arial"/>
          <w:b/>
          <w:bCs/>
          <w:sz w:val="22"/>
          <w:szCs w:val="22"/>
        </w:rPr>
        <w:t>Uffici stampa</w:t>
      </w:r>
      <w:r>
        <w:rPr>
          <w:rStyle w:val="Nessuno"/>
          <w:rFonts w:ascii="Arial" w:eastAsia="Arial" w:hAnsi="Arial" w:cs="Arial"/>
          <w:b/>
          <w:bCs/>
          <w:sz w:val="22"/>
          <w:szCs w:val="22"/>
        </w:rPr>
        <w:br/>
      </w:r>
      <w:r>
        <w:rPr>
          <w:rStyle w:val="Nessuno"/>
          <w:rFonts w:ascii="Arial" w:hAnsi="Arial"/>
          <w:sz w:val="22"/>
          <w:szCs w:val="22"/>
        </w:rPr>
        <w:t xml:space="preserve">Aurora Marin – Studio Comelli - </w:t>
      </w:r>
      <w:hyperlink r:id="rId8" w:history="1">
        <w:r>
          <w:rPr>
            <w:rStyle w:val="Hyperlink2"/>
          </w:rPr>
          <w:t>aurora@studiocomelli.eu</w:t>
        </w:r>
      </w:hyperlink>
      <w:r>
        <w:rPr>
          <w:rStyle w:val="Nessuno"/>
          <w:rFonts w:ascii="Arial" w:hAnsi="Arial"/>
          <w:sz w:val="22"/>
          <w:szCs w:val="22"/>
        </w:rPr>
        <w:t xml:space="preserve">  + 39 347 1722820</w:t>
      </w:r>
      <w:r>
        <w:rPr>
          <w:rStyle w:val="Nessuno"/>
          <w:rFonts w:ascii="Arial" w:hAnsi="Arial"/>
          <w:sz w:val="22"/>
          <w:szCs w:val="22"/>
        </w:rPr>
        <w:tab/>
      </w:r>
      <w:r>
        <w:rPr>
          <w:rStyle w:val="Nessuno"/>
          <w:rFonts w:ascii="Arial" w:eastAsia="Arial" w:hAnsi="Arial" w:cs="Arial"/>
          <w:sz w:val="22"/>
          <w:szCs w:val="22"/>
        </w:rPr>
        <w:br/>
      </w:r>
      <w:r>
        <w:rPr>
          <w:rStyle w:val="Nessuno"/>
          <w:rFonts w:ascii="Arial" w:hAnsi="Arial"/>
          <w:sz w:val="22"/>
          <w:szCs w:val="22"/>
        </w:rPr>
        <w:t>Simona Maldarelli – Pordenone Fiere – smaldarelli@fierapordenone.it + 39 380 3133728</w:t>
      </w:r>
    </w:p>
    <w:sectPr w:rsidR="00F41DE0">
      <w:headerReference w:type="default" r:id="rId9"/>
      <w:footerReference w:type="default" r:id="rId10"/>
      <w:pgSz w:w="11900" w:h="16840"/>
      <w:pgMar w:top="2694" w:right="851" w:bottom="1500" w:left="851" w:header="992" w:footer="1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E6B58" w14:textId="77777777" w:rsidR="00EB0833" w:rsidRDefault="00EB0833">
      <w:r>
        <w:separator/>
      </w:r>
    </w:p>
  </w:endnote>
  <w:endnote w:type="continuationSeparator" w:id="0">
    <w:p w14:paraId="3E463DE9" w14:textId="77777777" w:rsidR="00EB0833" w:rsidRDefault="00EB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altName w:val="Arial"/>
    <w:charset w:val="00"/>
    <w:family w:val="swiss"/>
    <w:pitch w:val="variable"/>
    <w:sig w:usb0="00000001" w:usb1="5000ECFF" w:usb2="00000021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2DAF9" w14:textId="77777777" w:rsidR="00F41DE0" w:rsidRDefault="00EB0833" w:rsidP="00325014">
    <w:pPr>
      <w:spacing w:line="288" w:lineRule="auto"/>
      <w:ind w:left="7788" w:right="-292"/>
      <w:rPr>
        <w:rStyle w:val="Nessuno"/>
        <w:rFonts w:ascii="Arial" w:eastAsia="Arial" w:hAnsi="Arial" w:cs="Arial"/>
        <w:b/>
        <w:bCs/>
        <w:sz w:val="14"/>
        <w:szCs w:val="14"/>
      </w:rPr>
    </w:pPr>
    <w:r>
      <w:rPr>
        <w:rStyle w:val="Nessuno"/>
        <w:rFonts w:ascii="Arial" w:hAnsi="Arial"/>
        <w:b/>
        <w:bCs/>
        <w:sz w:val="14"/>
        <w:szCs w:val="14"/>
      </w:rPr>
      <w:t>Convegni e comunicazione a cura di:</w:t>
    </w:r>
  </w:p>
  <w:p w14:paraId="53C77E2A" w14:textId="49B4B367" w:rsidR="00F41DE0" w:rsidRDefault="00325014">
    <w:pPr>
      <w:spacing w:line="276" w:lineRule="auto"/>
      <w:rPr>
        <w:rStyle w:val="Nessuno"/>
        <w:rFonts w:ascii="Lato Light" w:eastAsia="Lato Light" w:hAnsi="Lato Light" w:cs="Lato Light"/>
        <w:sz w:val="14"/>
        <w:szCs w:val="14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4DCD70C9" wp14:editId="3D72859C">
          <wp:simplePos x="0" y="0"/>
          <wp:positionH relativeFrom="page">
            <wp:posOffset>5552440</wp:posOffset>
          </wp:positionH>
          <wp:positionV relativeFrom="page">
            <wp:posOffset>10163175</wp:posOffset>
          </wp:positionV>
          <wp:extent cx="1471930" cy="431800"/>
          <wp:effectExtent l="0" t="0" r="0" b="0"/>
          <wp:wrapNone/>
          <wp:docPr id="1073741827" name="officeArt object" descr="Immagine 6518873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magine 651887386" descr="Immagine 65188738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1930" cy="431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essuno"/>
        <w:rFonts w:ascii="Arial" w:hAnsi="Arial"/>
        <w:b/>
        <w:bCs/>
        <w:sz w:val="14"/>
        <w:szCs w:val="14"/>
      </w:rPr>
      <w:t>Pordenone Fiere S.p.a.</w:t>
    </w:r>
    <w:r>
      <w:rPr>
        <w:rStyle w:val="Nessuno"/>
        <w:rFonts w:ascii="Lato Light" w:eastAsia="Lato Light" w:hAnsi="Lato Light" w:cs="Lato Light"/>
        <w:sz w:val="14"/>
        <w:szCs w:val="14"/>
      </w:rPr>
      <w:t xml:space="preserve"> - Viale Treviso 1 - 33170 Pordenone – Italy</w:t>
    </w:r>
  </w:p>
  <w:p w14:paraId="273FE6D4" w14:textId="33D2C421" w:rsidR="00F41DE0" w:rsidRDefault="00EB0833">
    <w:pPr>
      <w:spacing w:line="276" w:lineRule="auto"/>
      <w:rPr>
        <w:rStyle w:val="Nessuno"/>
        <w:rFonts w:ascii="Arial" w:eastAsia="Arial" w:hAnsi="Arial" w:cs="Arial"/>
        <w:b/>
        <w:bCs/>
        <w:sz w:val="14"/>
        <w:szCs w:val="14"/>
        <w:lang w:val="en-US"/>
      </w:rPr>
    </w:pPr>
    <w:r>
      <w:rPr>
        <w:rStyle w:val="Nessuno"/>
        <w:rFonts w:ascii="Lato Light" w:eastAsia="Lato Light" w:hAnsi="Lato Light" w:cs="Lato Light"/>
        <w:sz w:val="14"/>
        <w:szCs w:val="14"/>
        <w:lang w:val="en-US"/>
      </w:rPr>
      <w:t>Tel. +39 0434 232111 - Fax +39 0434 570415</w:t>
    </w:r>
    <w:r>
      <w:rPr>
        <w:rStyle w:val="Nessuno"/>
        <w:rFonts w:ascii="Lato Light" w:eastAsia="Lato Light" w:hAnsi="Lato Light" w:cs="Lato Light"/>
        <w:sz w:val="14"/>
        <w:szCs w:val="14"/>
        <w:lang w:val="en-US"/>
      </w:rPr>
      <w:tab/>
    </w:r>
    <w:r>
      <w:rPr>
        <w:rStyle w:val="Nessuno"/>
        <w:rFonts w:ascii="Lato Light" w:eastAsia="Lato Light" w:hAnsi="Lato Light" w:cs="Lato Light"/>
        <w:sz w:val="14"/>
        <w:szCs w:val="14"/>
        <w:lang w:val="en-US"/>
      </w:rPr>
      <w:tab/>
    </w:r>
  </w:p>
  <w:p w14:paraId="59871720" w14:textId="77777777" w:rsidR="00F41DE0" w:rsidRDefault="00EB0833">
    <w:pPr>
      <w:spacing w:line="276" w:lineRule="auto"/>
      <w:rPr>
        <w:rStyle w:val="Nessuno"/>
        <w:rFonts w:ascii="Lato Light" w:eastAsia="Lato Light" w:hAnsi="Lato Light" w:cs="Lato Light"/>
        <w:sz w:val="14"/>
        <w:szCs w:val="14"/>
        <w:lang w:val="en-US"/>
      </w:rPr>
    </w:pPr>
    <w:r>
      <w:rPr>
        <w:rStyle w:val="Nessuno"/>
        <w:rFonts w:ascii="Lato Light" w:eastAsia="Lato Light" w:hAnsi="Lato Light" w:cs="Lato Light"/>
        <w:sz w:val="14"/>
        <w:szCs w:val="14"/>
        <w:lang w:val="en-US"/>
      </w:rPr>
      <w:t xml:space="preserve">pec: amministrazione@pec.fierapordenone.it </w:t>
    </w:r>
  </w:p>
  <w:p w14:paraId="2E8F04BC" w14:textId="77777777" w:rsidR="00F41DE0" w:rsidRDefault="00EB0833">
    <w:pPr>
      <w:spacing w:line="276" w:lineRule="auto"/>
    </w:pPr>
    <w:r>
      <w:rPr>
        <w:rStyle w:val="Nessuno"/>
        <w:rFonts w:ascii="Lato Light" w:eastAsia="Lato Light" w:hAnsi="Lato Light" w:cs="Lato Light"/>
        <w:sz w:val="14"/>
        <w:szCs w:val="14"/>
        <w:lang w:val="en-US"/>
      </w:rPr>
      <w:t>P.IVA: 00076940931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2D55C" w14:textId="77777777" w:rsidR="00EB0833" w:rsidRDefault="00EB0833">
      <w:r>
        <w:separator/>
      </w:r>
    </w:p>
  </w:footnote>
  <w:footnote w:type="continuationSeparator" w:id="0">
    <w:p w14:paraId="3142CE76" w14:textId="77777777" w:rsidR="00EB0833" w:rsidRDefault="00EB0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CA023" w14:textId="5050E02B" w:rsidR="00F41DE0" w:rsidRDefault="00EB0833">
    <w:pPr>
      <w:jc w:val="right"/>
      <w:rPr>
        <w:rFonts w:ascii="Arial" w:eastAsia="Arial" w:hAnsi="Arial" w:cs="Arial"/>
        <w:b/>
        <w:bCs/>
        <w:color w:val="3C3C3B"/>
        <w:sz w:val="30"/>
        <w:szCs w:val="30"/>
        <w:u w:color="3C3C3B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968117C" wp14:editId="7F604ACB">
          <wp:simplePos x="0" y="0"/>
          <wp:positionH relativeFrom="page">
            <wp:posOffset>304165</wp:posOffset>
          </wp:positionH>
          <wp:positionV relativeFrom="page">
            <wp:posOffset>239395</wp:posOffset>
          </wp:positionV>
          <wp:extent cx="2937164" cy="1018309"/>
          <wp:effectExtent l="0" t="0" r="0" b="0"/>
          <wp:wrapNone/>
          <wp:docPr id="1073741825" name="officeArt object" descr="Immagine 17440024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1744002418" descr="Immagine 1744002418"/>
                  <pic:cNvPicPr>
                    <a:picLocks noChangeAspect="1"/>
                  </pic:cNvPicPr>
                </pic:nvPicPr>
                <pic:blipFill>
                  <a:blip r:embed="rId1"/>
                  <a:srcRect l="32765"/>
                  <a:stretch>
                    <a:fillRect/>
                  </a:stretch>
                </pic:blipFill>
                <pic:spPr>
                  <a:xfrm>
                    <a:off x="0" y="0"/>
                    <a:ext cx="2937164" cy="10183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22BDACD8" wp14:editId="619C8CAB">
              <wp:simplePos x="0" y="0"/>
              <wp:positionH relativeFrom="page">
                <wp:posOffset>534035</wp:posOffset>
              </wp:positionH>
              <wp:positionV relativeFrom="page">
                <wp:posOffset>10218420</wp:posOffset>
              </wp:positionV>
              <wp:extent cx="0" cy="12701"/>
              <wp:effectExtent l="0" t="0" r="0" b="0"/>
              <wp:wrapNone/>
              <wp:docPr id="1073741826" name="officeArt object" descr="Connettore 2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701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26" style="visibility:visible;position:absolute;margin-left:42.1pt;margin-top:804.6pt;width:0.0pt;height:1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Arial" w:hAnsi="Arial"/>
        <w:sz w:val="30"/>
        <w:szCs w:val="30"/>
      </w:rPr>
      <w:t>20 – 21 MARZO 2024</w:t>
    </w:r>
  </w:p>
  <w:p w14:paraId="46E8612A" w14:textId="77777777" w:rsidR="00F41DE0" w:rsidRDefault="00EB0833">
    <w:pPr>
      <w:jc w:val="right"/>
    </w:pPr>
    <w:hyperlink r:id="rId2" w:history="1">
      <w:r>
        <w:rPr>
          <w:rStyle w:val="Hyperlink0"/>
        </w:rPr>
        <w:t>www.novelfarmexpo.it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E0"/>
    <w:rsid w:val="00071B27"/>
    <w:rsid w:val="000E0F7D"/>
    <w:rsid w:val="001A7B25"/>
    <w:rsid w:val="00325014"/>
    <w:rsid w:val="003A70A3"/>
    <w:rsid w:val="00540E94"/>
    <w:rsid w:val="0058653A"/>
    <w:rsid w:val="00612F48"/>
    <w:rsid w:val="006574AB"/>
    <w:rsid w:val="00670DDB"/>
    <w:rsid w:val="00741858"/>
    <w:rsid w:val="00757CA7"/>
    <w:rsid w:val="008A0AB1"/>
    <w:rsid w:val="008B3E08"/>
    <w:rsid w:val="008B46E1"/>
    <w:rsid w:val="00B908B2"/>
    <w:rsid w:val="00C129B7"/>
    <w:rsid w:val="00CB6644"/>
    <w:rsid w:val="00EB0833"/>
    <w:rsid w:val="00F41DE0"/>
    <w:rsid w:val="00F7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24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outline w:val="0"/>
      <w:color w:val="6A9B3E"/>
      <w:sz w:val="29"/>
      <w:szCs w:val="29"/>
      <w:u w:color="6A9B3E"/>
    </w:rPr>
  </w:style>
  <w:style w:type="character" w:customStyle="1" w:styleId="Link">
    <w:name w:val="Link"/>
    <w:rPr>
      <w:outline w:val="0"/>
      <w:color w:val="00B050"/>
      <w:u w:val="single" w:color="00B050"/>
    </w:rPr>
  </w:style>
  <w:style w:type="character" w:customStyle="1" w:styleId="Hyperlink1">
    <w:name w:val="Hyperlink.1"/>
    <w:basedOn w:val="Link"/>
    <w:rPr>
      <w:rFonts w:ascii="Arial" w:eastAsia="Arial" w:hAnsi="Arial" w:cs="Arial"/>
      <w:outline w:val="0"/>
      <w:color w:val="00B050"/>
      <w:sz w:val="22"/>
      <w:szCs w:val="22"/>
      <w:u w:val="single" w:color="00B050"/>
    </w:rPr>
  </w:style>
  <w:style w:type="character" w:customStyle="1" w:styleId="Hyperlink2">
    <w:name w:val="Hyperlink.2"/>
    <w:basedOn w:val="Nessuno"/>
    <w:rPr>
      <w:rFonts w:ascii="Arial" w:eastAsia="Arial" w:hAnsi="Arial" w:cs="Arial"/>
      <w:outline w:val="0"/>
      <w:color w:val="0563C1"/>
      <w:sz w:val="22"/>
      <w:szCs w:val="22"/>
      <w:u w:val="single" w:color="0563C1"/>
    </w:rPr>
  </w:style>
  <w:style w:type="paragraph" w:styleId="Revisione">
    <w:name w:val="Revision"/>
    <w:hidden/>
    <w:uiPriority w:val="99"/>
    <w:semiHidden/>
    <w:rsid w:val="005865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4"/>
      <w:szCs w:val="24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3250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014"/>
    <w:rPr>
      <w:rFonts w:ascii="Calibri" w:hAnsi="Calibri"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3250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5014"/>
    <w:rPr>
      <w:rFonts w:ascii="Calibri" w:hAnsi="Calibri" w:cs="Arial Unicode MS"/>
      <w:color w:val="000000"/>
      <w:sz w:val="24"/>
      <w:szCs w:val="24"/>
      <w:u w:color="000000"/>
    </w:rPr>
  </w:style>
  <w:style w:type="character" w:customStyle="1" w:styleId="nessuno0">
    <w:name w:val="nessuno"/>
    <w:basedOn w:val="Carpredefinitoparagrafo"/>
    <w:rsid w:val="00741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outline w:val="0"/>
      <w:color w:val="6A9B3E"/>
      <w:sz w:val="29"/>
      <w:szCs w:val="29"/>
      <w:u w:color="6A9B3E"/>
    </w:rPr>
  </w:style>
  <w:style w:type="character" w:customStyle="1" w:styleId="Link">
    <w:name w:val="Link"/>
    <w:rPr>
      <w:outline w:val="0"/>
      <w:color w:val="00B050"/>
      <w:u w:val="single" w:color="00B050"/>
    </w:rPr>
  </w:style>
  <w:style w:type="character" w:customStyle="1" w:styleId="Hyperlink1">
    <w:name w:val="Hyperlink.1"/>
    <w:basedOn w:val="Link"/>
    <w:rPr>
      <w:rFonts w:ascii="Arial" w:eastAsia="Arial" w:hAnsi="Arial" w:cs="Arial"/>
      <w:outline w:val="0"/>
      <w:color w:val="00B050"/>
      <w:sz w:val="22"/>
      <w:szCs w:val="22"/>
      <w:u w:val="single" w:color="00B050"/>
    </w:rPr>
  </w:style>
  <w:style w:type="character" w:customStyle="1" w:styleId="Hyperlink2">
    <w:name w:val="Hyperlink.2"/>
    <w:basedOn w:val="Nessuno"/>
    <w:rPr>
      <w:rFonts w:ascii="Arial" w:eastAsia="Arial" w:hAnsi="Arial" w:cs="Arial"/>
      <w:outline w:val="0"/>
      <w:color w:val="0563C1"/>
      <w:sz w:val="22"/>
      <w:szCs w:val="22"/>
      <w:u w:val="single" w:color="0563C1"/>
    </w:rPr>
  </w:style>
  <w:style w:type="paragraph" w:styleId="Revisione">
    <w:name w:val="Revision"/>
    <w:hidden/>
    <w:uiPriority w:val="99"/>
    <w:semiHidden/>
    <w:rsid w:val="005865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4"/>
      <w:szCs w:val="24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3250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014"/>
    <w:rPr>
      <w:rFonts w:ascii="Calibri" w:hAnsi="Calibri"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3250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5014"/>
    <w:rPr>
      <w:rFonts w:ascii="Calibri" w:hAnsi="Calibri" w:cs="Arial Unicode MS"/>
      <w:color w:val="000000"/>
      <w:sz w:val="24"/>
      <w:szCs w:val="24"/>
      <w:u w:color="000000"/>
    </w:rPr>
  </w:style>
  <w:style w:type="character" w:customStyle="1" w:styleId="nessuno0">
    <w:name w:val="nessuno"/>
    <w:basedOn w:val="Carpredefinitoparagrafo"/>
    <w:rsid w:val="00741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rora@studiocomelli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velfarmexpo.i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elfarmexpo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De Odorico</dc:creator>
  <cp:lastModifiedBy>Carlo</cp:lastModifiedBy>
  <cp:revision>2</cp:revision>
  <dcterms:created xsi:type="dcterms:W3CDTF">2024-01-24T23:31:00Z</dcterms:created>
  <dcterms:modified xsi:type="dcterms:W3CDTF">2024-01-24T23:31:00Z</dcterms:modified>
</cp:coreProperties>
</file>